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Encuentro Nacional de Enseñanza y Aprendizaje de las Ciencias Sociales</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Perspectivas y experiencias en la Enseñanza y Aprendizaje de las Ciencias Sociales en el nivel inicial y primario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Superior de Formación Docente n° 6.</w:t>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Neuquén Capital, Provincia de Neuquén. Argentina. 7, 8 y 9 de agosto de 2019.</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 temático 2:</w:t>
      </w:r>
      <w:r w:rsidDel="00000000" w:rsidR="00000000" w:rsidRPr="00000000">
        <w:rPr>
          <w:rFonts w:ascii="Times New Roman" w:cs="Times New Roman" w:eastAsia="Times New Roman" w:hAnsi="Times New Roman"/>
          <w:sz w:val="24"/>
          <w:szCs w:val="24"/>
          <w:rtl w:val="0"/>
        </w:rPr>
        <w:t xml:space="preserve"> Experiencias de Enseñanzas y Aprendizajes de las Ciencias Sociales en la formación continua del profesorado.</w:t>
      </w: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 del trabajo: </w:t>
      </w:r>
      <w:r w:rsidDel="00000000" w:rsidR="00000000" w:rsidRPr="00000000">
        <w:rPr>
          <w:rFonts w:ascii="Times New Roman" w:cs="Times New Roman" w:eastAsia="Times New Roman" w:hAnsi="Times New Roman"/>
          <w:sz w:val="24"/>
          <w:szCs w:val="24"/>
          <w:rtl w:val="0"/>
        </w:rPr>
        <w:t xml:space="preserve">“Elecciones para el presidente del aula”. </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Nombre y Apellido: </w:t>
      </w:r>
      <w:r w:rsidDel="00000000" w:rsidR="00000000" w:rsidRPr="00000000">
        <w:rPr>
          <w:rFonts w:ascii="Times New Roman" w:cs="Times New Roman" w:eastAsia="Times New Roman" w:hAnsi="Times New Roman"/>
          <w:sz w:val="24"/>
          <w:szCs w:val="24"/>
          <w:rtl w:val="0"/>
        </w:rPr>
        <w:t xml:space="preserve">Santiago Benavidez.</w:t>
      </w:r>
    </w:p>
    <w:p w:rsidR="00000000" w:rsidDel="00000000" w:rsidP="00000000" w:rsidRDefault="00000000" w:rsidRPr="00000000" w14:paraId="0000000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Institución: </w:t>
      </w:r>
      <w:r w:rsidDel="00000000" w:rsidR="00000000" w:rsidRPr="00000000">
        <w:rPr>
          <w:rFonts w:ascii="Times New Roman" w:cs="Times New Roman" w:eastAsia="Times New Roman" w:hAnsi="Times New Roman"/>
          <w:sz w:val="24"/>
          <w:szCs w:val="24"/>
          <w:rtl w:val="0"/>
        </w:rPr>
        <w:t xml:space="preserve">Fa.C.E.-U.N.Co.</w:t>
      </w:r>
    </w:p>
    <w:p w:rsidR="00000000" w:rsidDel="00000000" w:rsidP="00000000" w:rsidRDefault="00000000" w:rsidRPr="00000000" w14:paraId="0000000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Facultad de Ciencias de la Educación – Universidad Nacional del Comahue. Esc. N°68 Cmte Guerrico.</w:t>
      </w:r>
    </w:p>
    <w:p w:rsidR="00000000" w:rsidDel="00000000" w:rsidP="00000000" w:rsidRDefault="00000000" w:rsidRPr="00000000" w14:paraId="0000000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DNI: </w:t>
      </w:r>
      <w:r w:rsidDel="00000000" w:rsidR="00000000" w:rsidRPr="00000000">
        <w:rPr>
          <w:rFonts w:ascii="Times New Roman" w:cs="Times New Roman" w:eastAsia="Times New Roman" w:hAnsi="Times New Roman"/>
          <w:sz w:val="24"/>
          <w:szCs w:val="24"/>
          <w:rtl w:val="0"/>
        </w:rPr>
        <w:t xml:space="preserve">35.062.325</w:t>
      </w: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hyperlink r:id="rId6">
        <w:r w:rsidDel="00000000" w:rsidR="00000000" w:rsidRPr="00000000">
          <w:rPr>
            <w:rFonts w:ascii="Times New Roman" w:cs="Times New Roman" w:eastAsia="Times New Roman" w:hAnsi="Times New Roman"/>
            <w:color w:val="0000ff"/>
            <w:sz w:val="24"/>
            <w:szCs w:val="24"/>
            <w:u w:val="single"/>
            <w:rtl w:val="0"/>
          </w:rPr>
          <w:t xml:space="preserve">wilkib90@gmail.com</w:t>
        </w:r>
      </w:hyperlink>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Ponencia</w:t>
      </w:r>
    </w:p>
    <w:p w:rsidR="00000000" w:rsidDel="00000000" w:rsidP="00000000" w:rsidRDefault="00000000" w:rsidRPr="00000000" w14:paraId="0000000F">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Introducción.</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trabajo da cuenta de una experiencia realizada en una escuela rural en Cmte. Guerrico, situada a 18 km aproximadamente de la localidad de General Roca. Una escuela de jornada extendida, que se divide en dos turnos. Una experiencia del área de Ciencias Sociales realizada en 6° grado y en colaboración con el turno mañana de la institución.</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semana del 8 de Abril, surgió un interrogante acerca de las elecciones que tuvo la provincia de Rio Negro para gobernador el día 7 de Abril, y en esa parte inicial surgieron explicaciones y anécdotas de cómo se vivió esa fecha, además de preguntarnos ¿cómo se vota?  Salió de un estudiante una idea: </w:t>
      </w:r>
      <w:r w:rsidDel="00000000" w:rsidR="00000000" w:rsidRPr="00000000">
        <w:rPr>
          <w:rFonts w:ascii="Times New Roman" w:cs="Times New Roman" w:eastAsia="Times New Roman" w:hAnsi="Times New Roman"/>
          <w:i w:val="1"/>
          <w:sz w:val="24"/>
          <w:szCs w:val="24"/>
          <w:rtl w:val="0"/>
        </w:rPr>
        <w:t xml:space="preserve">“profe ¿y si votamos a nuestro presidente del aula?”</w:t>
      </w: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diálogo y también en la marcha, se planearon unas elecciones para presidente del aula. Acompañados por docentes y directivos se articulo una experiencia que pueda ilustrar lo que pasó en ese día que hubieron elecciones. </w:t>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propuesta se planificó de la siguiente manera:</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Propósitos: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Desarrollar momentos lúdicos que acerquen al estudiante al concepto y la dinámica del sufragio.</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Establecer momentos de análisis en función de las obligaciones y responsabilidades de una práctica democrática como el sufragio.</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Consigna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Experimentamos las elecciones para presidente en el aula.</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Experiencia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dividirá la simulación en tres momentos, la primera: la elaboración de la campaña, la segunda: la jornada del sufragio; y el último momento como el recuento y análisis de estos resultados.</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Primera parte: </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inició con distintas preguntas: ¿Qué es votar? ¿Por qué se vota? ¿Qué es una campaña? ¿Para qué sirve? ¿Qué se propone? ¿Cómo se piensa una propuesta? En este momento se pueden dar cuenta de distintas hipótesis que tiene el grupo acerca del acto del sufragio, “</w:t>
      </w:r>
      <w:r w:rsidDel="00000000" w:rsidR="00000000" w:rsidRPr="00000000">
        <w:rPr>
          <w:rFonts w:ascii="Times New Roman" w:cs="Times New Roman" w:eastAsia="Times New Roman" w:hAnsi="Times New Roman"/>
          <w:i w:val="1"/>
          <w:sz w:val="24"/>
          <w:szCs w:val="24"/>
          <w:rtl w:val="0"/>
        </w:rPr>
        <w:t xml:space="preserve">votar es para elegir presidente-representante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vota porque lo tiene que elegir la gente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 gana tiene que cumplir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 campaña son los carteles y lo que pasan en la tele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vez que charlamos esto nos ponemos en práctica para definir todas las cosas que necesitamos para hacer una elección, un partido, una lista, y los candidatos que se animan a encarar este desafío.</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inscriben los candidatos, con un número de lista y el nombre de su partido a los cuales surgieron como “Partido ATR”, “Juntos somos esc. 68”, “Partido MJ”, “Todos por la 68”, “Juntos somos 6°”entre otros. Una vez formado el listado de los candidatos se tiene en cuenta a la hora del acto eleccionario, es guía para los votantes en el momento de escribir su voto.</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campaña se desarrolló con la exposición de cada candidato, con sus ideas y propuestas, el docente interpretó un entrevistador con muchas preguntas, algunas pertinentes a la campaña, como para entrar en el tema y que los chicos focalicen en sus argumentos.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Preguntas realizadas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 que tal a todos, buenas tardes, hoy estamos con el/la candidatx del partido (…) y queríamos saber ¿Cómo ve la realidad del aula, de la escuela? </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propone para mejorar las condiciones del aula? </w:t>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lo va a llevar a cabo? </w:t>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capta las necesidades de sus compañeros? </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necesidades tienen sus compañeros?</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-¿Sensaciones para las elecciones? </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-¿Alguna cábala? ¿Cómo vas a festejar?</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las posibles respuestas el docente colaboró con la idea principal que se fue exponiendo y proponiendo, en los casos que costó o fue difícil responder a la entrevista, ya sea por timidez o poca preparación de las ideas, por el hecho de que los tiempos en este caso fueron escasos.</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experiencia con sexto grado se sumó quinto ante el escenario de tener a muchos candidatos y pocos votantes, todos acordaron y pensaron elaborar la campaña mirando en los votantes, se hizo el mismo rol de exposición, con distintas preguntas a todos los candidatos. En esta parte y gracias a la primera exposición con 6° los candidatos elaboraron más propuestas y más ideas para proponerle a quinto grado.</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Segunda Parte: </w:t>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arma la urna con una caja de cartón, cerrada por un papel en la cima y un orificio para permitir el ingreso del voto a través de papelitos. Se organiza el aula para poner la urna en dos mesas en un costado del aula, que permita la circulación y se mantenga la clase mientras se vota. </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voto es directo porque quien vota escribe el nombre del candidato y su partido, y también es secreto ya que la urna se mantiene dentro del aula, y los votantes escriben el voto en una mesa fuera del aula mientras los candidatos siguen en clase. El hecho de que el sufragio conviva con la clase, es por una cuestión de aprovechar los tiempos y que los estudiantes puedan avanzar en otras asignaturas.</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este momento se pudo retomar y seguir a lo largo de la semana, para que puedan participar los chicos que faltaron el primer día, con la guía de los compañeros.</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arma un padrón con el nombre y el apellido de sus compañeros, después de votar firman, y una vez que están organizados se ponen de acuerdo quién es fiscal de mesa, quién controla las firmas, quién controla que el voto sea uno solo por votante, y el docente explica la modalidad del voto a medida que ingresan al aula. Entonces el voto en esta instancia es secreto, directo y único.</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Tercera parte: </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vez finalizada la elección se cuentan los votos, uno a uno, anotando en la pizarra, y después controlando que los votos contados en la urna coincidan con la cantidad de firmas. La expectativa fue muy alta, lo que genera ansiedad en todo el grupo, por eso fue necesario respetar los tiempos y las formas, como cuidar la urna, esperar el turno, no molestar en clase, favoreció a la puesta en marcha.</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Después del conteo se analizaron los resultados con los siguientes interrogantes:</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-¿Cuántos votos tuvo cada candidato? </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qué gano? ¿Qué influye en la campaña para ganar?</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tipo de campaña importa, las propuestas y/o la popularidad? ¿Cómo fue? </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-¿Cuál es la responsabilidad o cómo es el ejercicio del compañero electo? ¿Qué sucede? </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ante una disconformidad o una ausencia ¿qué se hace? ¿Cómo lo resolverían? </w:t>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qué es importante que participemos todos o la mayoría posible?</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no hubiesen participado en su mayoría ¿Cómo lo resolverían?</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cierre y a fin de reconocer al compañero electo, realizamos una coronación en el aula, el docente dio un breve discurso e improviso una escarapela de papel con muchos colores y tiras de distintas formas. Para hacerlo público, se presenta al otro grado y en la salida, el resultado de las elecciones. La compañera elegida fue reconocida y agradeció a todos los presentes, además de valorar la participación.</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Análisis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pensar este tipo de propuesta se pensó desde las siguientes finalidades, la primera más amplia, que entiende a “</w:t>
      </w:r>
      <w:r w:rsidDel="00000000" w:rsidR="00000000" w:rsidRPr="00000000">
        <w:rPr>
          <w:rFonts w:ascii="Times New Roman" w:cs="Times New Roman" w:eastAsia="Times New Roman" w:hAnsi="Times New Roman"/>
          <w:i w:val="1"/>
          <w:sz w:val="24"/>
          <w:szCs w:val="24"/>
          <w:rtl w:val="0"/>
        </w:rPr>
        <w:t xml:space="preserve">las finalidades de la enseñanza de las Ciencias Sociales, desde una concepción critica de la enseñanza: comprender la realidad social, formar el pensamiento crítico y creativo, intervenir y transformar la realidad, en un proceso continuo de mejora de la vida democrática</w:t>
      </w:r>
      <w:r w:rsidDel="00000000" w:rsidR="00000000" w:rsidRPr="00000000">
        <w:rPr>
          <w:rFonts w:ascii="Times New Roman" w:cs="Times New Roman" w:eastAsia="Times New Roman" w:hAnsi="Times New Roman"/>
          <w:sz w:val="24"/>
          <w:szCs w:val="24"/>
          <w:rtl w:val="0"/>
        </w:rPr>
        <w:t xml:space="preserve">” (Santisteban 2011:66), esta finalidad nos posiciona desde qué lugar vemos a las ciencias sociales, nos orienta al momento de seleccionar estrategias y plantear temáticas para acercar a los estudiantes a una mirada más crítica de la realidad social.</w:t>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función de esto, una finalidad más especifica y que se relaciona a finalidades políticas y prácticas, que es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0"/>
          <w:szCs w:val="20"/>
          <w:rtl w:val="0"/>
        </w:rPr>
        <w:t xml:space="preserve">Construir la democracia” </w:t>
      </w:r>
      <w:r w:rsidDel="00000000" w:rsidR="00000000" w:rsidRPr="00000000">
        <w:rPr>
          <w:rFonts w:ascii="Times New Roman" w:cs="Times New Roman" w:eastAsia="Times New Roman" w:hAnsi="Times New Roman"/>
          <w:sz w:val="20"/>
          <w:szCs w:val="20"/>
          <w:rtl w:val="0"/>
        </w:rPr>
        <w:t xml:space="preserve">en donde</w:t>
      </w:r>
      <w:r w:rsidDel="00000000" w:rsidR="00000000" w:rsidRPr="00000000">
        <w:rPr>
          <w:rFonts w:ascii="Times New Roman" w:cs="Times New Roman" w:eastAsia="Times New Roman" w:hAnsi="Times New Roman"/>
          <w:i w:val="1"/>
          <w:sz w:val="20"/>
          <w:szCs w:val="20"/>
          <w:rtl w:val="0"/>
        </w:rPr>
        <w:t xml:space="preserve"> “el alumnado debe aprender a reconocer sus deberes o exigir sus derechos. Participar de la vida social requiere adquirir capacidades para asumir responsabilidades cada vez mayores. Se trata de practicar la democracia en todos los ámbitos de la vida (…) que es construir futuro</w:t>
      </w:r>
      <w:r w:rsidDel="00000000" w:rsidR="00000000" w:rsidRPr="00000000">
        <w:rPr>
          <w:rFonts w:ascii="Times New Roman" w:cs="Times New Roman" w:eastAsia="Times New Roman" w:hAnsi="Times New Roman"/>
          <w:sz w:val="24"/>
          <w:szCs w:val="24"/>
          <w:rtl w:val="0"/>
        </w:rPr>
        <w:t xml:space="preserve">”. (Santisteban 2011:82). En este sentido la propuesta busco una interacción tanto grupal como conceptual, para que el sujeto pueda pensarse como un actor social, acercarlo a una práctica, es muy potente al momento de articular distintas dimensiones del sufragio en este caso, la validez de cada voto, la participación y la legitimidad de esta.</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Entonces a partir de la puesta en marcha de acto eleccionario, se abordan distintos temas como el rol de los medios de comunicación, la elaboración de campañas políticas, la mirada de la realidad social cercana, porque se miró la escuela desde el aula, y también las problemáticas de los sujetos, el respeto a la opinión, y la participación política, fueron distintos aspectos que se llevaron a cabo algunas mas explícitos que otros, pero en la intervención de cada estudiante se muestra.</w:t>
      </w:r>
    </w:p>
    <w:p w:rsidR="00000000" w:rsidDel="00000000" w:rsidP="00000000" w:rsidRDefault="00000000" w:rsidRPr="00000000" w14:paraId="0000003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El desarrollo de la propuesta se baso en los métodos interactivos que desarrolla Quinquer, ya que</w:t>
      </w:r>
      <w:r w:rsidDel="00000000" w:rsidR="00000000" w:rsidRPr="00000000">
        <w:rPr>
          <w:rFonts w:ascii="Times New Roman" w:cs="Times New Roman" w:eastAsia="Times New Roman" w:hAnsi="Times New Roman"/>
          <w:i w:val="1"/>
          <w:sz w:val="20"/>
          <w:szCs w:val="20"/>
          <w:rtl w:val="0"/>
        </w:rPr>
        <w:t xml:space="preserve">, “se identifican porque el elemento central de una o más clases consiste en resolver un caso o un problema, poner en práctica una simulación, responder un interrogante, realizar una investigación o un proyecto. Para ello el alumnado ha de analizar la demanda, pensar, organizarse, buscar información, trabajar en equipo y tomar decisiones (…)” </w:t>
      </w:r>
      <w:r w:rsidDel="00000000" w:rsidR="00000000" w:rsidRPr="00000000">
        <w:rPr>
          <w:rFonts w:ascii="Times New Roman" w:cs="Times New Roman" w:eastAsia="Times New Roman" w:hAnsi="Times New Roman"/>
          <w:sz w:val="24"/>
          <w:szCs w:val="24"/>
          <w:rtl w:val="0"/>
        </w:rPr>
        <w:t xml:space="preserve">(2004:5).</w:t>
      </w: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4"/>
          <w:szCs w:val="24"/>
          <w:rtl w:val="0"/>
        </w:rPr>
        <w:t xml:space="preserve">El interrogante inicial que genera esta decisión es “¿y si votamos a nuestro presidente del aula?” fue un disparador importante, para conocer el voto y cómo funciona esta herramienta de la democracia es interesante ponerla en práctica. Además </w:t>
      </w:r>
      <w:r w:rsidDel="00000000" w:rsidR="00000000" w:rsidRPr="00000000">
        <w:rPr>
          <w:rFonts w:ascii="Times New Roman" w:cs="Times New Roman" w:eastAsia="Times New Roman" w:hAnsi="Times New Roman"/>
          <w:i w:val="1"/>
          <w:sz w:val="24"/>
          <w:szCs w:val="24"/>
          <w:rtl w:val="0"/>
        </w:rPr>
        <w:t xml:space="preserve">“Se optimizan si en su puesta en práctica se fomenta la cooperación, puesto que la interacción que entonces se produce entre los mismos estudiantes y entre estos y el profesorado facilita el aprendizaje.”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Quinquer 2004:5).</w:t>
      </w: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distinción importante entre estrategia y recurso, lo que la estrategia define a todos los caminos a seguir para lograr mis propósitos, como las actividades y la utilización de recursos, los recursos son los materiales concretos y/o digitales que utilizo para desarrollar la estrategia elegida. En este caso se definió a la simulación como estrategia y el juego como recurso. </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Entonces, ¿qué son las simulaciones? “</w:t>
      </w:r>
      <w:r w:rsidDel="00000000" w:rsidR="00000000" w:rsidRPr="00000000">
        <w:rPr>
          <w:rFonts w:ascii="Times New Roman" w:cs="Times New Roman" w:eastAsia="Times New Roman" w:hAnsi="Times New Roman"/>
          <w:i w:val="1"/>
          <w:sz w:val="20"/>
          <w:szCs w:val="20"/>
          <w:rtl w:val="0"/>
        </w:rPr>
        <w:t xml:space="preserve">Bajo esta denominación se designa una amplia gama de actividades (simulación social o dramatización, empatía, rol, juegos u otras) que permiten reproducir o representar de forma simplificada una situación real o hipotética. Los juegos incorporan además un componente de competición y a veces de azar.</w:t>
      </w:r>
      <w:r w:rsidDel="00000000" w:rsidR="00000000" w:rsidRPr="00000000">
        <w:rPr>
          <w:rFonts w:ascii="Times New Roman" w:cs="Times New Roman" w:eastAsia="Times New Roman" w:hAnsi="Times New Roman"/>
          <w:sz w:val="24"/>
          <w:szCs w:val="24"/>
          <w:rtl w:val="0"/>
        </w:rPr>
        <w:t xml:space="preserve"> (2004:6).</w:t>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características que plantea la autora acerca de las simulaciones son: “</w:t>
      </w:r>
      <w:r w:rsidDel="00000000" w:rsidR="00000000" w:rsidRPr="00000000">
        <w:rPr>
          <w:rFonts w:ascii="Times New Roman" w:cs="Times New Roman" w:eastAsia="Times New Roman" w:hAnsi="Times New Roman"/>
          <w:i w:val="1"/>
          <w:sz w:val="20"/>
          <w:szCs w:val="20"/>
          <w:rtl w:val="0"/>
        </w:rPr>
        <w:t xml:space="preserve">Actividades de localización y juegos de simulación que se utilizan en geografía. Su objetivo es tomar decisiones sobre cuestiones diversas: localización de industrias, de carreteras, de ferrocarriles, de cuestiones urbanísticas, etc.;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0"/>
          <w:szCs w:val="20"/>
          <w:rtl w:val="0"/>
        </w:rPr>
        <w:t xml:space="preserve">Las actividades basadas en la empatía son muy útiles para ayudar al alumnado a comprender las intenciones y las motivaciones de los agentes históricos. También para ayudarles a explicitar sus concepciones y entender el relativismo; Las dramatizaciones son simulaciones en la que la empatía y la adopción de roles tienen un papel relevante. Pueden utilizar técnicas teatrales.”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Quinquer 2004:6).</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última es la que se apoya esta propuesta, las dramatizaciones se pueden divisar tanto en los candidatos como en el entrevistador, asi como en la adopción de roles y distintas funciones que se realizaron para organizar la experiencia.</w:t>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se tienen en cuenta la dimensión institucional y la dinámica del grupo, la escuela fue muy colaborativa para realizar la experiencia, luego de todas las consultas de antemano, ya que lograr la experiencia necesitaba tomar tiempo de otros espacios curriculares para que no quede inconcluso, “</w:t>
      </w:r>
      <w:r w:rsidDel="00000000" w:rsidR="00000000" w:rsidRPr="00000000">
        <w:rPr>
          <w:rFonts w:ascii="Times New Roman" w:cs="Times New Roman" w:eastAsia="Times New Roman" w:hAnsi="Times New Roman"/>
          <w:i w:val="1"/>
          <w:sz w:val="20"/>
          <w:szCs w:val="20"/>
          <w:rtl w:val="0"/>
        </w:rPr>
        <w:t xml:space="preserve">la simulación necesita tener situaciones favorables en el contexto escolar para asegurar su éxito y alcanzar así, los objetivos de enseñanza propuestos, (…) en primer lugar, prever la organización del espacio y del tiempo, para que el alumnado pueda realizar todas las actividades propuestas. En segundo lugar, el profesorado debe conocer en profundidad la situación de simulación y tener una actitud ante el alumnado que suponga facilitar y ayudar a que todos participantes</w:t>
      </w:r>
      <w:r w:rsidDel="00000000" w:rsidR="00000000" w:rsidRPr="00000000">
        <w:rPr>
          <w:rFonts w:ascii="Times New Roman" w:cs="Times New Roman" w:eastAsia="Times New Roman" w:hAnsi="Times New Roman"/>
          <w:sz w:val="24"/>
          <w:szCs w:val="24"/>
          <w:rtl w:val="0"/>
        </w:rPr>
        <w:t xml:space="preserve">”. (Oller, 2011:176). Tener en cuenta este aspecto, favorece a la comprensión de prácticas tanto individuales como colectivas, los estudiantes reconociendo ciertas problemáticas pueden pensar en posibles soluciones, y este juego los permitió acercar esta tensión entre conflicto y solución a partir de las propuestas.</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modalidad permitió un acercamiento más significativo al concepto de Sufragio, aprovechando que en la semana en la hubieron elecciones, los estudiantes pudieron reconocer varios elementos y recrearlos. “</w:t>
      </w:r>
      <w:r w:rsidDel="00000000" w:rsidR="00000000" w:rsidRPr="00000000">
        <w:rPr>
          <w:rFonts w:ascii="Times New Roman" w:cs="Times New Roman" w:eastAsia="Times New Roman" w:hAnsi="Times New Roman"/>
          <w:i w:val="1"/>
          <w:sz w:val="24"/>
          <w:szCs w:val="24"/>
          <w:rtl w:val="0"/>
        </w:rPr>
        <w:t xml:space="preserve">La aplicabilidad y significatividad de los contenidos es más evidente porque se presentan de manera contextualizada, a menudo se trata de problemas reales o situaciones prácticas que implican el dominio de destrezas (…)”. (Quinquer, 2004:7).</w:t>
      </w: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tiempos que tomó realizar la propuesta se pueden apreciar en el siguiente cuadro:</w:t>
      </w:r>
    </w:p>
    <w:tbl>
      <w:tblPr>
        <w:tblStyle w:val="Table1"/>
        <w:tblW w:w="97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5"/>
        <w:gridCol w:w="1614"/>
        <w:gridCol w:w="1651"/>
        <w:gridCol w:w="1732"/>
        <w:gridCol w:w="1644"/>
        <w:gridCol w:w="1665"/>
        <w:tblGridChange w:id="0">
          <w:tblGrid>
            <w:gridCol w:w="1475"/>
            <w:gridCol w:w="1614"/>
            <w:gridCol w:w="1651"/>
            <w:gridCol w:w="1732"/>
            <w:gridCol w:w="1644"/>
            <w:gridCol w:w="1665"/>
          </w:tblGrid>
        </w:tblGridChange>
      </w:tblGrid>
      <w:tr>
        <w:trPr>
          <w:trHeight w:val="450" w:hRule="atLeast"/>
        </w:trPr>
        <w:tc>
          <w:tcPr/>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Lunes</w:t>
            </w:r>
          </w:p>
        </w:tc>
        <w:tc>
          <w:tcPr>
            <w:shd w:fill="c6d9f1" w:val="clear"/>
          </w:tcPr>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Martes</w:t>
            </w:r>
          </w:p>
        </w:tc>
        <w:tc>
          <w:tcPr>
            <w:shd w:fill="c6d9f1" w:val="clear"/>
          </w:tcPr>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Miércoles</w:t>
            </w:r>
          </w:p>
        </w:tc>
        <w:tc>
          <w:tcPr>
            <w:shd w:fill="c6d9f1" w:val="clear"/>
          </w:tcPr>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Jueves</w:t>
            </w:r>
          </w:p>
        </w:tc>
        <w:tc>
          <w:tcPr/>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Viernes</w:t>
            </w:r>
          </w:p>
        </w:tc>
      </w:tr>
      <w:tr>
        <w:trPr>
          <w:trHeight w:val="912" w:hRule="atLeast"/>
        </w:trPr>
        <w:tc>
          <w:tcPr/>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Modulo 1</w:t>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min</w:t>
            </w:r>
          </w:p>
        </w:tc>
        <w:tc>
          <w:tcPr/>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Plástica</w:t>
            </w:r>
          </w:p>
        </w:tc>
        <w:tc>
          <w:tcPr/>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tl w:val="0"/>
              </w:rPr>
            </w:r>
          </w:p>
        </w:tc>
      </w:tr>
      <w:tr>
        <w:trPr>
          <w:trHeight w:val="326" w:hRule="atLeast"/>
        </w:trPr>
        <w:tc>
          <w:tcPr>
            <w:vMerge w:val="restart"/>
          </w:tcPr>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Modulo 2</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min</w:t>
            </w:r>
          </w:p>
        </w:tc>
        <w:tc>
          <w:tcPr>
            <w:vMerge w:val="restart"/>
          </w:tcPr>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tl w:val="0"/>
              </w:rPr>
            </w:r>
          </w:p>
        </w:tc>
        <w:tc>
          <w:tcPr>
            <w:vMerge w:val="restart"/>
            <w:shd w:fill="e5dfec" w:val="clear"/>
          </w:tcPr>
          <w:p w:rsidR="00000000" w:rsidDel="00000000" w:rsidP="00000000" w:rsidRDefault="00000000" w:rsidRPr="00000000" w14:paraId="000000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Música M1</w:t>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M2</w:t>
            </w:r>
          </w:p>
        </w:tc>
        <w:tc>
          <w:tcPr/>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 Física</w:t>
            </w:r>
          </w:p>
        </w:tc>
        <w:tc>
          <w:tcPr>
            <w:vMerge w:val="restart"/>
            <w:shd w:fill="e5dfec" w:val="clear"/>
          </w:tcPr>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6°lengua M2</w:t>
            </w:r>
          </w:p>
        </w:tc>
        <w:tc>
          <w:tcPr>
            <w:vMerge w:val="restart"/>
          </w:tcPr>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tl w:val="0"/>
              </w:rPr>
            </w:r>
          </w:p>
        </w:tc>
      </w:tr>
      <w:tr>
        <w:trPr>
          <w:trHeight w:val="325" w:hRule="atLeast"/>
        </w:trPr>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e5dfec"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e5dfec" w:val="clear"/>
          </w:tcPr>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Música M2</w:t>
            </w:r>
          </w:p>
        </w:tc>
        <w:tc>
          <w:tcPr>
            <w:vMerge w:val="continue"/>
            <w:shd w:fill="e5dfec"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912" w:hRule="atLeast"/>
        </w:trPr>
        <w:tc>
          <w:tcPr/>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Modulo 3</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min</w:t>
            </w:r>
          </w:p>
        </w:tc>
        <w:tc>
          <w:tcPr/>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tl w:val="0"/>
              </w:rPr>
            </w:r>
          </w:p>
        </w:tc>
        <w:tc>
          <w:tcPr>
            <w:shd w:fill="e5dfec" w:val="clear"/>
          </w:tcPr>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Cs. ss. M1</w:t>
            </w:r>
          </w:p>
        </w:tc>
        <w:tc>
          <w:tcPr/>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e5dfec" w:val="clear"/>
          </w:tcPr>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Cs. ss. M3</w:t>
            </w:r>
          </w:p>
        </w:tc>
        <w:tc>
          <w:tcPr/>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tiempos que están organizados en la escuela: 40 min. Por clase de ciencias sociales. Tiempo utilizado marcado con violeta. Los distintos momentos: M1, M2, M3.</w:t>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horario de música se pudo aprovechar porque el docente tenía una licencia por esos días, por lo cual aporto más tiempo a la propuesta, otro aspecto que tenemos que tener en cuenta, es que no fue una propuesta lineal, los momentos no fueron sucesivos de manera estricta, ante la incorporación de quinto grado, pudimos desdoblar el momento 2 en distintos días de la semana, para que fuera organizado y se pudiera cumplir. Este tipo de estrategias permite que la propuesta sea un poco más flexible para los estudiantes, esto supone más compromiso con la actividad.</w:t>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logró establecer una lógica distinta de trabajo, el clima del aula fue </w:t>
      </w:r>
      <w:r w:rsidDel="00000000" w:rsidR="00000000" w:rsidRPr="00000000">
        <w:rPr>
          <w:rFonts w:ascii="Times New Roman" w:cs="Times New Roman" w:eastAsia="Times New Roman" w:hAnsi="Times New Roman"/>
          <w:i w:val="1"/>
          <w:sz w:val="24"/>
          <w:szCs w:val="24"/>
          <w:rtl w:val="0"/>
        </w:rPr>
        <w:t xml:space="preserve">“participativo y dinámico”</w:t>
      </w:r>
      <w:r w:rsidDel="00000000" w:rsidR="00000000" w:rsidRPr="00000000">
        <w:rPr>
          <w:rFonts w:ascii="Times New Roman" w:cs="Times New Roman" w:eastAsia="Times New Roman" w:hAnsi="Times New Roman"/>
          <w:sz w:val="24"/>
          <w:szCs w:val="24"/>
          <w:rtl w:val="0"/>
        </w:rPr>
        <w:t xml:space="preserve"> (2004:7), todos pudieron participar manteniendo los tiempos y las formas pautadas. También en el medio de los momentos 2 se continuo la clase con otra asignatura, mientras copiaban las consignas para resolver en Lengua, por ejemplo, pasaban chicos de quinto grado a votar, tanto un rato antes del recreo como casi al final del día. </w:t>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que en la experiencia de 6° grado hicieron parte a 5° grado, invitándolos a las elecciones, con el fin de ampliar la representatividad.</w:t>
      </w:r>
      <w:r w:rsidDel="00000000" w:rsidR="00000000" w:rsidRPr="00000000">
        <w:rPr>
          <w:rFonts w:ascii="Times New Roman" w:cs="Times New Roman" w:eastAsia="Times New Roman" w:hAnsi="Times New Roman"/>
          <w:i w:val="1"/>
          <w:sz w:val="24"/>
          <w:szCs w:val="24"/>
          <w:rtl w:val="0"/>
        </w:rPr>
        <w:t xml:space="preserve"> “(…) en su puesta en práctica se fomenta la cooperación, puesto que la interacción que entonces se produce entre los mismos estudiantes, y entre estos y el profesorado se facilita el aprendizaje” (2004:5)</w:t>
      </w:r>
      <w:r w:rsidDel="00000000" w:rsidR="00000000" w:rsidRPr="00000000">
        <w:rPr>
          <w:rFonts w:ascii="Times New Roman" w:cs="Times New Roman" w:eastAsia="Times New Roman" w:hAnsi="Times New Roman"/>
          <w:sz w:val="24"/>
          <w:szCs w:val="24"/>
          <w:rtl w:val="0"/>
        </w:rPr>
        <w:t xml:space="preserve">. La colaboración del docente que estaba como dupla en las otras asignaturas, ofreció un poco más de tiempo, como asi también, la disposición del docente de quinto grado para que los estudiantes participen de la experiencia.</w:t>
      </w:r>
    </w:p>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concepto transversal nombrado en el análisis es la categoría de participación en los que para tener un acercamiento mas especifico, se tiene en cuenta la definición de la participación en la vida escolar y la participación en la vida local, que según Haeberli P. y  Audigier F. (2009).</w:t>
      </w:r>
    </w:p>
    <w:p w:rsidR="00000000" w:rsidDel="00000000" w:rsidP="00000000" w:rsidRDefault="00000000" w:rsidRPr="00000000" w14:paraId="0000006F">
      <w:pPr>
        <w:spacing w:line="360" w:lineRule="auto"/>
        <w:ind w:left="708" w:right="332"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“La primera concierne a la participación en la vida escolar, se refiere en primer lugar a lo que pasa en la escuela, las relaciones entre los individuos, la organización de los poderes, el funcionamiento general de la clase y/o del centro, etc.; la segunda se refiere a la participación en la vida local del barrio, del municipio al que el joven pertenece y en el que se integra, y se refiere a cuestiones sociales que no se limitan únicamente a cuestiones escolares.”</w:t>
      </w:r>
      <w:r w:rsidDel="00000000" w:rsidR="00000000" w:rsidRPr="00000000">
        <w:rPr>
          <w:rFonts w:ascii="Times New Roman" w:cs="Times New Roman" w:eastAsia="Times New Roman" w:hAnsi="Times New Roman"/>
          <w:sz w:val="24"/>
          <w:szCs w:val="24"/>
          <w:rtl w:val="0"/>
        </w:rPr>
        <w:t xml:space="preserve">(2009:29).</w:t>
      </w:r>
      <w:r w:rsidDel="00000000" w:rsidR="00000000" w:rsidRPr="00000000">
        <w:rPr>
          <w:rtl w:val="0"/>
        </w:rPr>
      </w:r>
    </w:p>
    <w:p w:rsidR="00000000" w:rsidDel="00000000" w:rsidP="00000000" w:rsidRDefault="00000000" w:rsidRPr="00000000" w14:paraId="000000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autores plantean estas dos dinámicas distintas por su especificidad y contexto, pero relacionadas por la lógica de participación que los atraviesa, lo que nos interesa de este aspecto es cómo se desarrolla la participación política escolar como un aspecto poco abordado, pero que genera una experiencia potente tanto en el terreno interactivo como conceptual.</w:t>
      </w:r>
    </w:p>
    <w:p w:rsidR="00000000" w:rsidDel="00000000" w:rsidP="00000000" w:rsidRDefault="00000000" w:rsidRPr="00000000" w14:paraId="000000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una participación se nutre de la otra, en la experiencia indirecta, que van comprendiendo desde lo que se habla, dialoga y comenta en la casa, los estudiantes vienen con representaciones mentales de aquello que es votar, participar y proponer. Y aunque no son participes plenos de la vida local política, lograron reconocer varios de los elementos importantes de la elección, y recrearlas.</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Conclusiones provisorias</w:t>
      </w: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Quedan interrogantes a los que provisoriamente se pueden abordar, como por ejemplo, hacia dónde se puede seguir trabajando la propuesta y hacia qué dinámica es posible continuar; además de seguir analizando el contexto escolar, cuáles son las dificultades y facilidades que presenta la escuela; y las tensiones y los acuerdos que se pueden lograr.</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secuencia puede tener una línea de trabajo siguiendo las finalidades anteriormente planteadas, teniendo en cuenta al grupo, que la consigna trabajada no quede como una actividad aislada y anecdótica, se pueda articular en una secuencia, queda un campo conceptual abierto para seguir profundizando los términos de la participación y la re-significación de la democracia, seguir trabajando temas como derechos y obligaciones, la forma de gobierno, división de poderes, etc.</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 también que Quinquer (2004) plantea otras estrategias que pueden complementar a la de modalidad interactiva, para lograr una propuesta más potente y reflexiva, a partir de problematizaciones, lecturas e interpretaciones de la realidad social. La propuesta se puede extender hacia distintas temáticas con distintas formas de trabajo.</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perfil de la institución favoreció a la práctica, sin restricciones o condicionantes, aunque también se trato de mantener el orden en las jornadas, la propuesta tenía más trabajo dentro del aula, que afuera, pero el hecho de que chicos de otro grado circularan en horario de clase para votar, fue de manera ordenada y mantuvo un bajo perfil. En este tipo de decisiones se consulto con los docentes a fin de no desordenar sus propias clases.</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 allá de lo colaborativo, los tiempos escolares apremian ya sea por los tiempos que se le destina a la didáctica de las sociales, como la agenda semanal, la presencia de los actos, los emergentes, pero no son problemáticas propias de la escuela, sino que hace a su vida cotidiana compleja, y en este escenario de lo complejo, se pueden desarrollar propuestas que rompan moldes ya establecidos y estáticos.</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Aunque queden ciertos interrogantes abiertos acerca de cómo se puede relacionar a otras asignaturas escolares o cómo se puede evaluar este tipo de propuestas, este trabajo ofrece distintas formas para seguir pensando la formación ciudadana en el nivel primario.</w:t>
      </w:r>
    </w:p>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Haeberli P. y  Audigier F. (2009). Participación y educación para la ciudadanía: el ejemplo de los consejos de clase.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Investigación en la escuela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(Ejemplar dedicado a: Educar para la participación ciudadana), pp. 25-38. Accesible en: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https://dialnet.unirioja.es/servlet/articulo?codigo=3070546</w:t>
        </w:r>
      </w:hyperlink>
      <w:r w:rsidDel="00000000" w:rsidR="00000000" w:rsidRPr="00000000">
        <w:rPr>
          <w:rtl w:val="0"/>
        </w:rPr>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Oller, M. (2011). Métodos y estrategias para la enseñanza y el aprendizaje de las ciencias sociales. En: Santisteban y Pagés (coord.). Didáctica del conocimiento del medio social y cultural en la educación primaria. Madrid. Ed. Síntesis.</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Quinquer, D. (2004). Estrategias metodológicas para enseñar y aprender ciencias sociales: interacción, cooperación y participación.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Íber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pp. 7-22. Accesible en: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https://dialnet.unirioja.es/ejemplar/87608</w:t>
        </w:r>
      </w:hyperlink>
      <w:r w:rsidDel="00000000" w:rsidR="00000000" w:rsidRPr="00000000">
        <w:rPr>
          <w:rtl w:val="0"/>
        </w:rPr>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Santisteban, A. (2011). Las finalidades de la enseñanza de las ciencias sociales. 2011. En: Santisteban y Pagés (coord.). Didáctica del conocimiento del medio social y cultural en la educación primaria. Madrid. Ed. Síntesis.</w:t>
      </w:r>
    </w:p>
    <w:sectPr>
      <w:pgSz w:h="15840" w:w="12240"/>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alnet.unirioja.es/ejemplar/87608" TargetMode="External"/><Relationship Id="rId5" Type="http://schemas.openxmlformats.org/officeDocument/2006/relationships/styles" Target="styles.xml"/><Relationship Id="rId6" Type="http://schemas.openxmlformats.org/officeDocument/2006/relationships/hyperlink" Target="mailto:wilkib90@gmail.com" TargetMode="External"/><Relationship Id="rId7" Type="http://schemas.openxmlformats.org/officeDocument/2006/relationships/hyperlink" Target="https://dialnet.unirioja.es/servlet/revista?codigo=734" TargetMode="External"/><Relationship Id="rId8" Type="http://schemas.openxmlformats.org/officeDocument/2006/relationships/hyperlink" Target="https://dialnet.unirioja.es/servlet/articulo?codigo=3070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